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Муниципальное бюджетное дошкольное образователь</w:t>
      </w:r>
      <w:r w:rsidR="003772A3">
        <w:rPr>
          <w:rFonts w:ascii="Times New Roman" w:eastAsia="Calibri" w:hAnsi="Times New Roman" w:cs="Times New Roman"/>
          <w:sz w:val="24"/>
          <w:szCs w:val="24"/>
        </w:rPr>
        <w:t>ное учреждение «Детский сад № </w:t>
      </w:r>
      <w:r w:rsidR="003772A3" w:rsidRPr="003772A3">
        <w:rPr>
          <w:rFonts w:ascii="Times New Roman" w:eastAsia="Calibri" w:hAnsi="Times New Roman" w:cs="Times New Roman"/>
          <w:sz w:val="24"/>
          <w:szCs w:val="24"/>
        </w:rPr>
        <w:t>47</w:t>
      </w:r>
      <w:r w:rsidRPr="00E95C7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комбин</w:t>
      </w:r>
      <w:r w:rsidR="004736F9">
        <w:rPr>
          <w:rFonts w:ascii="Times New Roman" w:eastAsia="Calibri" w:hAnsi="Times New Roman" w:cs="Times New Roman"/>
          <w:sz w:val="24"/>
          <w:szCs w:val="24"/>
        </w:rPr>
        <w:t xml:space="preserve">ированного вида </w:t>
      </w:r>
      <w:r w:rsidR="004736F9">
        <w:rPr>
          <w:rFonts w:ascii="Times New Roman" w:eastAsia="Calibri" w:hAnsi="Times New Roman" w:cs="Times New Roman"/>
          <w:sz w:val="24"/>
          <w:szCs w:val="24"/>
        </w:rPr>
        <w:br/>
        <w:t>(МБДОУ «ДС № 47</w:t>
      </w:r>
      <w:r w:rsidRPr="00E95C74">
        <w:rPr>
          <w:rFonts w:ascii="Times New Roman" w:eastAsia="Calibri" w:hAnsi="Times New Roman" w:cs="Times New Roman"/>
          <w:sz w:val="24"/>
          <w:szCs w:val="24"/>
        </w:rPr>
        <w:t>»)</w:t>
      </w: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900" w:type="dxa"/>
        <w:tblLayout w:type="fixed"/>
        <w:tblLook w:val="04A0" w:firstRow="1" w:lastRow="0" w:firstColumn="1" w:lastColumn="0" w:noHBand="0" w:noVBand="1"/>
      </w:tblPr>
      <w:tblGrid>
        <w:gridCol w:w="6439"/>
        <w:gridCol w:w="2028"/>
        <w:gridCol w:w="2433"/>
      </w:tblGrid>
      <w:tr w:rsidR="00E95C74" w:rsidRPr="00E95C74" w:rsidTr="00EB6B8A">
        <w:trPr>
          <w:trHeight w:val="190"/>
        </w:trPr>
        <w:tc>
          <w:tcPr>
            <w:tcW w:w="6439" w:type="dxa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461" w:type="dxa"/>
            <w:gridSpan w:val="2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E95C74" w:rsidRPr="00E95C74" w:rsidTr="00EB6B8A">
        <w:trPr>
          <w:trHeight w:val="190"/>
        </w:trPr>
        <w:tc>
          <w:tcPr>
            <w:tcW w:w="6439" w:type="dxa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4461" w:type="dxa"/>
            <w:gridSpan w:val="2"/>
            <w:hideMark/>
          </w:tcPr>
          <w:p w:rsidR="00E95C74" w:rsidRPr="00E95C74" w:rsidRDefault="003772A3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МБДОУ «ДС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95C74" w:rsidRPr="00E95C74" w:rsidTr="00EB6B8A">
        <w:trPr>
          <w:trHeight w:val="190"/>
        </w:trPr>
        <w:tc>
          <w:tcPr>
            <w:tcW w:w="6439" w:type="dxa"/>
            <w:vAlign w:val="bottom"/>
            <w:hideMark/>
          </w:tcPr>
          <w:p w:rsidR="00E95C74" w:rsidRPr="00E95C74" w:rsidRDefault="003772A3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 «ДС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8" w:type="dxa"/>
            <w:vAlign w:val="bottom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432" w:type="dxa"/>
            <w:vAlign w:val="bottom"/>
            <w:hideMark/>
          </w:tcPr>
          <w:p w:rsidR="00E95C74" w:rsidRPr="003772A3" w:rsidRDefault="003772A3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Мехтиева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Х.Г</w:t>
            </w:r>
          </w:p>
        </w:tc>
      </w:tr>
      <w:tr w:rsidR="00E95C74" w:rsidRPr="00E95C74" w:rsidTr="00EB6B8A">
        <w:trPr>
          <w:trHeight w:val="190"/>
        </w:trPr>
        <w:tc>
          <w:tcPr>
            <w:tcW w:w="6439" w:type="dxa"/>
            <w:hideMark/>
          </w:tcPr>
          <w:p w:rsidR="00E95C74" w:rsidRPr="00E95C74" w:rsidRDefault="00E95C74" w:rsidP="00C278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(протокол от </w:t>
            </w:r>
            <w:r w:rsidR="00DE4739">
              <w:rPr>
                <w:rFonts w:ascii="Times New Roman" w:eastAsia="Calibri" w:hAnsi="Times New Roman" w:cs="Times New Roman"/>
                <w:sz w:val="24"/>
                <w:szCs w:val="24"/>
              </w:rPr>
              <w:t>28.03</w:t>
            </w: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27831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377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3772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1" w:type="dxa"/>
            <w:gridSpan w:val="2"/>
            <w:hideMark/>
          </w:tcPr>
          <w:p w:rsidR="00E95C74" w:rsidRPr="00E95C74" w:rsidRDefault="00E95C74" w:rsidP="00C278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27831"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 г.</w:t>
            </w:r>
          </w:p>
        </w:tc>
      </w:tr>
    </w:tbl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C7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Отчет о результатах </w:t>
      </w:r>
      <w:proofErr w:type="spellStart"/>
      <w:r w:rsidRPr="00E95C7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самообследования</w:t>
      </w:r>
      <w:proofErr w:type="spellEnd"/>
      <w:r w:rsidRPr="00E95C7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</w:r>
      <w:r w:rsidRPr="00E95C74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 бюджетного дошкольного образовательного учреждения </w:t>
      </w:r>
    </w:p>
    <w:p w:rsidR="00E95C74" w:rsidRPr="00E95C74" w:rsidRDefault="003772A3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«Детский сад № 47</w:t>
      </w:r>
      <w:r w:rsidR="00E95C74" w:rsidRPr="00E95C74">
        <w:rPr>
          <w:rFonts w:ascii="Times New Roman" w:eastAsia="Calibri" w:hAnsi="Times New Roman" w:cs="Times New Roman"/>
          <w:b/>
          <w:sz w:val="28"/>
          <w:szCs w:val="28"/>
        </w:rPr>
        <w:t>» комбинированного вида</w:t>
      </w: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C74">
        <w:rPr>
          <w:rFonts w:ascii="Times New Roman" w:eastAsia="Calibri" w:hAnsi="Times New Roman" w:cs="Times New Roman"/>
          <w:b/>
          <w:sz w:val="28"/>
          <w:szCs w:val="28"/>
        </w:rPr>
        <w:t xml:space="preserve"> за 2018год</w:t>
      </w: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E95C74">
        <w:rPr>
          <w:rFonts w:ascii="Times New Roman" w:eastAsia="Calibri" w:hAnsi="Times New Roman" w:cs="Times New Roman"/>
          <w:b/>
          <w:bCs/>
          <w:sz w:val="24"/>
          <w:szCs w:val="24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904"/>
      </w:tblGrid>
      <w:tr w:rsidR="00E95C74" w:rsidRPr="00E95C74" w:rsidTr="00EB6B8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</w:t>
            </w:r>
            <w:r w:rsidR="003772A3">
              <w:rPr>
                <w:rFonts w:ascii="Times New Roman" w:eastAsia="Calibri" w:hAnsi="Times New Roman" w:cs="Times New Roman"/>
                <w:sz w:val="24"/>
                <w:szCs w:val="24"/>
              </w:rPr>
              <w:t>ное учреждение «Детский сад № 47</w:t>
            </w: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» комби</w:t>
            </w:r>
            <w:r w:rsidR="003772A3">
              <w:rPr>
                <w:rFonts w:ascii="Times New Roman" w:eastAsia="Calibri" w:hAnsi="Times New Roman" w:cs="Times New Roman"/>
                <w:sz w:val="24"/>
                <w:szCs w:val="24"/>
              </w:rPr>
              <w:t>нированного вида (МБДОУ «ДС № 47</w:t>
            </w: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95C74" w:rsidRPr="00E95C74" w:rsidTr="00EB6B8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3772A3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Мехтиева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Х.Г</w:t>
            </w:r>
          </w:p>
        </w:tc>
      </w:tr>
      <w:tr w:rsidR="00E95C74" w:rsidRPr="00E95C74" w:rsidTr="00EB6B8A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3772A3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367010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РД, г. </w:t>
            </w:r>
            <w:proofErr w:type="spellStart"/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ачкала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Гагарина 80 а</w:t>
            </w:r>
          </w:p>
        </w:tc>
      </w:tr>
      <w:tr w:rsidR="00E95C74" w:rsidRPr="00E95C74" w:rsidTr="00EB6B8A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3772A3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8(8722) 62 41 08</w:t>
            </w:r>
          </w:p>
        </w:tc>
      </w:tr>
      <w:tr w:rsidR="00E95C74" w:rsidRPr="00E95C74" w:rsidTr="00EB6B8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3772A3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321BA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mkl-mdou</w:t>
              </w:r>
              <w:r w:rsidRPr="00321BA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47</w:t>
              </w:r>
              <w:r w:rsidRPr="00321BA8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@yandex.ru</w:t>
              </w:r>
            </w:hyperlink>
          </w:p>
        </w:tc>
      </w:tr>
      <w:tr w:rsidR="00E95C74" w:rsidRPr="00E95C74" w:rsidTr="00EB6B8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городского округа с внутригородским делением «город Махачкала»</w:t>
            </w:r>
          </w:p>
        </w:tc>
      </w:tr>
      <w:tr w:rsidR="00E95C74" w:rsidRPr="00E95C74" w:rsidTr="00EB6B8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3772A3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1970 г</w:t>
            </w:r>
          </w:p>
        </w:tc>
      </w:tr>
      <w:tr w:rsidR="00E95C74" w:rsidRPr="00E95C74" w:rsidTr="00EB6B8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74" w:rsidRPr="00E95C74" w:rsidRDefault="00F566F8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20.12.2016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8806, серия 05 ЛО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0003200</w:t>
            </w:r>
          </w:p>
        </w:tc>
      </w:tr>
    </w:tbl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 76» комбинированного вида (далее – Детский сад) расположено в жилом районе города вдали от производящих предприятий и торговых мест. Здание Детского сада построено по типовому проекту</w:t>
      </w:r>
      <w:r w:rsidR="003772A3">
        <w:rPr>
          <w:rFonts w:ascii="Times New Roman" w:eastAsia="Calibri" w:hAnsi="Times New Roman" w:cs="Times New Roman"/>
          <w:sz w:val="24"/>
          <w:szCs w:val="24"/>
        </w:rPr>
        <w:t xml:space="preserve">. Проектная наполняемость на 320 </w:t>
      </w: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F566F8">
        <w:rPr>
          <w:rFonts w:ascii="Times New Roman" w:eastAsia="Calibri" w:hAnsi="Times New Roman" w:cs="Times New Roman"/>
          <w:sz w:val="24"/>
          <w:szCs w:val="24"/>
        </w:rPr>
        <w:t>ест. Общая площадь здания 1326</w:t>
      </w: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кв. м, из них площадь помещений, используемых непосредственно для нужд о</w:t>
      </w:r>
      <w:r w:rsidR="00F566F8">
        <w:rPr>
          <w:rFonts w:ascii="Times New Roman" w:eastAsia="Calibri" w:hAnsi="Times New Roman" w:cs="Times New Roman"/>
          <w:sz w:val="24"/>
          <w:szCs w:val="24"/>
        </w:rPr>
        <w:t>бразовательного процесса, 1326</w:t>
      </w: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кв. м.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E95C74" w:rsidRPr="00E95C74" w:rsidRDefault="00E95C74" w:rsidP="00E95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C74">
        <w:rPr>
          <w:rFonts w:ascii="Times New Roman" w:eastAsia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Режим работы Детского сада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группах – 12 часов. Режим работы групп – с 07:00 до 19:00.</w:t>
      </w:r>
    </w:p>
    <w:p w:rsidR="00E95C74" w:rsidRPr="00E95C74" w:rsidRDefault="00E95C74" w:rsidP="00E95C7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C74" w:rsidRPr="00E95C74" w:rsidRDefault="00E95C74" w:rsidP="00E95C7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E95C74">
        <w:rPr>
          <w:rFonts w:ascii="Times New Roman" w:eastAsia="Calibri" w:hAnsi="Times New Roman" w:cs="Times New Roman"/>
          <w:b/>
          <w:sz w:val="24"/>
          <w:szCs w:val="24"/>
        </w:rPr>
        <w:t>. Система управления организации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lastRenderedPageBreak/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E95C74" w:rsidRPr="00E95C74" w:rsidRDefault="00E95C74" w:rsidP="00E95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7645"/>
      </w:tblGrid>
      <w:tr w:rsidR="00E95C74" w:rsidRPr="00E95C74" w:rsidTr="00EB6B8A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E95C74" w:rsidRPr="00E95C74" w:rsidTr="00EB6B8A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E95C74" w:rsidRPr="00E95C74" w:rsidTr="00EB6B8A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E95C74" w:rsidRPr="00E95C74" w:rsidTr="00EB6B8A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E95C74" w:rsidRPr="00E95C74" w:rsidTr="00EB6B8A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E95C74" w:rsidRPr="00E95C74" w:rsidRDefault="00E95C74" w:rsidP="00EB6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E95C74">
        <w:rPr>
          <w:rFonts w:ascii="Times New Roman" w:eastAsia="Calibri" w:hAnsi="Times New Roman" w:cs="Times New Roman"/>
          <w:b/>
          <w:bCs/>
          <w:sz w:val="24"/>
          <w:szCs w:val="24"/>
        </w:rPr>
        <w:t>. Оценка образовательной деятельности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E95C74" w:rsidRPr="00E95C74" w:rsidRDefault="00F566F8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 посещают 377</w:t>
      </w:r>
      <w:r w:rsidR="00E95C74" w:rsidRPr="00E95C74">
        <w:rPr>
          <w:rFonts w:ascii="Times New Roman" w:eastAsia="Calibri" w:hAnsi="Times New Roman" w:cs="Times New Roman"/>
          <w:sz w:val="24"/>
          <w:szCs w:val="24"/>
        </w:rPr>
        <w:t xml:space="preserve"> воспитанников в возрасте от 2 до 7 лет</w:t>
      </w:r>
      <w:r>
        <w:rPr>
          <w:rFonts w:ascii="Times New Roman" w:eastAsia="Calibri" w:hAnsi="Times New Roman" w:cs="Times New Roman"/>
          <w:sz w:val="24"/>
          <w:szCs w:val="24"/>
        </w:rPr>
        <w:t>. В Детском саду сформировано 13</w:t>
      </w:r>
      <w:r w:rsidR="00E95C74" w:rsidRPr="00E95C74">
        <w:rPr>
          <w:rFonts w:ascii="Times New Roman" w:eastAsia="Calibri" w:hAnsi="Times New Roman" w:cs="Times New Roman"/>
          <w:sz w:val="24"/>
          <w:szCs w:val="24"/>
        </w:rPr>
        <w:t xml:space="preserve"> групп общеразвивающей направленности. 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Из них: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</w:t>
      </w:r>
      <w:r w:rsidR="00722EE4">
        <w:rPr>
          <w:rFonts w:ascii="Times New Roman" w:eastAsia="Calibri" w:hAnsi="Times New Roman" w:cs="Times New Roman"/>
          <w:sz w:val="24"/>
          <w:szCs w:val="24"/>
        </w:rPr>
        <w:t xml:space="preserve"> 1  группа раннего возраста -2</w:t>
      </w:r>
      <w:r w:rsidR="00722EE4" w:rsidRPr="00722EE4">
        <w:rPr>
          <w:rFonts w:ascii="Times New Roman" w:eastAsia="Calibri" w:hAnsi="Times New Roman" w:cs="Times New Roman"/>
          <w:sz w:val="24"/>
          <w:szCs w:val="24"/>
        </w:rPr>
        <w:t>7</w:t>
      </w: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ребенка; 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</w:t>
      </w:r>
      <w:r w:rsidR="00722EE4">
        <w:rPr>
          <w:rFonts w:ascii="Times New Roman" w:eastAsia="Calibri" w:hAnsi="Times New Roman" w:cs="Times New Roman"/>
          <w:sz w:val="24"/>
          <w:szCs w:val="24"/>
        </w:rPr>
        <w:t xml:space="preserve"> 2 младшие группы – по 33</w:t>
      </w:r>
      <w:r w:rsidR="00722EE4" w:rsidRPr="00722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2EE4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E95C7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lastRenderedPageBreak/>
        <w:t>−</w:t>
      </w:r>
      <w:r w:rsidR="00722EE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средние группы – по  33 ребёнка;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− 3 старшие группы – по 34, 33, 32 ребёнка;</w:t>
      </w:r>
    </w:p>
    <w:p w:rsid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</w:t>
      </w:r>
      <w:r w:rsidR="00722EE4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gramStart"/>
      <w:r w:rsidR="00722EE4">
        <w:rPr>
          <w:rFonts w:ascii="Times New Roman" w:eastAsia="Calibri" w:hAnsi="Times New Roman" w:cs="Times New Roman"/>
          <w:sz w:val="24"/>
          <w:szCs w:val="24"/>
        </w:rPr>
        <w:t>подготовительные</w:t>
      </w:r>
      <w:proofErr w:type="gramEnd"/>
      <w:r w:rsidR="00722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к школе группа – 34 ребёнка.</w:t>
      </w:r>
    </w:p>
    <w:p w:rsidR="00722EE4" w:rsidRPr="00E95C74" w:rsidRDefault="00722EE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 1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Логопедическая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-16 детей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диагностические срезы;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proofErr w:type="gramStart"/>
      <w:r w:rsidRPr="00E95C74"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2018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815"/>
        <w:gridCol w:w="784"/>
        <w:gridCol w:w="709"/>
        <w:gridCol w:w="709"/>
        <w:gridCol w:w="992"/>
        <w:gridCol w:w="850"/>
        <w:gridCol w:w="709"/>
        <w:gridCol w:w="2126"/>
      </w:tblGrid>
      <w:tr w:rsidR="00E95C74" w:rsidRPr="00E95C74" w:rsidTr="00E95C74">
        <w:trPr>
          <w:trHeight w:val="90"/>
          <w:jc w:val="center"/>
        </w:trPr>
        <w:tc>
          <w:tcPr>
            <w:tcW w:w="2507" w:type="dxa"/>
            <w:vMerge w:val="restar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599" w:type="dxa"/>
            <w:gridSpan w:val="2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418" w:type="dxa"/>
            <w:gridSpan w:val="2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842" w:type="dxa"/>
            <w:gridSpan w:val="2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835" w:type="dxa"/>
            <w:gridSpan w:val="2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E95C74" w:rsidRPr="00E95C74" w:rsidTr="00E95C74">
        <w:trPr>
          <w:trHeight w:val="450"/>
          <w:jc w:val="center"/>
        </w:trPr>
        <w:tc>
          <w:tcPr>
            <w:tcW w:w="2507" w:type="dxa"/>
            <w:vMerge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84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26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E95C74" w:rsidRPr="00E95C74" w:rsidTr="00E95C74">
        <w:trPr>
          <w:trHeight w:val="90"/>
          <w:jc w:val="center"/>
        </w:trPr>
        <w:tc>
          <w:tcPr>
            <w:tcW w:w="2507" w:type="dxa"/>
            <w:vMerge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4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709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92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29 %</w:t>
            </w:r>
          </w:p>
        </w:tc>
        <w:tc>
          <w:tcPr>
            <w:tcW w:w="709" w:type="dxa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126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71 %</w:t>
            </w:r>
          </w:p>
        </w:tc>
      </w:tr>
      <w:tr w:rsidR="00E95C74" w:rsidRPr="00E95C74" w:rsidTr="00E95C74">
        <w:trPr>
          <w:trHeight w:val="1272"/>
          <w:jc w:val="center"/>
        </w:trPr>
        <w:tc>
          <w:tcPr>
            <w:tcW w:w="2507" w:type="dxa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15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4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709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992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709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126" w:type="dxa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87%</w:t>
            </w:r>
          </w:p>
        </w:tc>
      </w:tr>
    </w:tbl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В июне 2018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Pr="00E95C74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учебной деятельности в количестве 26 человек. </w:t>
      </w:r>
      <w:proofErr w:type="gramStart"/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Pr="00E95C74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Чтобы выбрать стратегию воспитательной работы, в 2018 году проводился анализ состава семей воспитанников.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Характеристика семей по составу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569"/>
        <w:gridCol w:w="3141"/>
      </w:tblGrid>
      <w:tr w:rsidR="00E95C74" w:rsidRPr="00E95C74" w:rsidTr="00E95C74"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529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E95C74" w:rsidRPr="00E95C74" w:rsidTr="00E95C74"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736" w:type="pct"/>
          </w:tcPr>
          <w:p w:rsidR="00E95C74" w:rsidRPr="00E95C74" w:rsidRDefault="00722EE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29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95 %</w:t>
            </w:r>
          </w:p>
        </w:tc>
      </w:tr>
      <w:tr w:rsidR="00E95C74" w:rsidRPr="00E95C74" w:rsidTr="00E95C74"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1736" w:type="pct"/>
          </w:tcPr>
          <w:p w:rsidR="00E95C74" w:rsidRPr="00E95C74" w:rsidRDefault="00722EE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9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4,7 %</w:t>
            </w:r>
          </w:p>
        </w:tc>
      </w:tr>
      <w:tr w:rsidR="00E95C74" w:rsidRPr="00E95C74" w:rsidTr="00E95C74"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0,3%</w:t>
            </w:r>
          </w:p>
        </w:tc>
      </w:tr>
      <w:tr w:rsidR="00E95C74" w:rsidRPr="00E95C74" w:rsidTr="00E95C74"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</w:tr>
    </w:tbl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Характеристика семей по количеству детей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569"/>
        <w:gridCol w:w="3141"/>
      </w:tblGrid>
      <w:tr w:rsidR="00E95C74" w:rsidRPr="00E95C74" w:rsidTr="00E95C74"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529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от общего </w:t>
            </w: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количества семей воспитанников</w:t>
            </w:r>
          </w:p>
        </w:tc>
      </w:tr>
      <w:tr w:rsidR="00E95C74" w:rsidRPr="00E95C74" w:rsidTr="00E95C74"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Один ребенок</w:t>
            </w:r>
          </w:p>
        </w:tc>
        <w:tc>
          <w:tcPr>
            <w:tcW w:w="1736" w:type="pct"/>
          </w:tcPr>
          <w:p w:rsidR="00E95C74" w:rsidRPr="00E95C74" w:rsidRDefault="00722EE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29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17,4%</w:t>
            </w:r>
          </w:p>
        </w:tc>
      </w:tr>
      <w:tr w:rsidR="00E95C74" w:rsidRPr="00E95C74" w:rsidTr="00E95C74"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736" w:type="pct"/>
          </w:tcPr>
          <w:p w:rsidR="00E95C74" w:rsidRPr="00E95C74" w:rsidRDefault="00722EE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29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21,4%</w:t>
            </w:r>
          </w:p>
        </w:tc>
      </w:tr>
      <w:tr w:rsidR="00E95C74" w:rsidRPr="00E95C74" w:rsidTr="00E95C74">
        <w:tc>
          <w:tcPr>
            <w:tcW w:w="1736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736" w:type="pct"/>
          </w:tcPr>
          <w:p w:rsidR="00E95C74" w:rsidRPr="00E95C74" w:rsidRDefault="00722EE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529" w:type="pct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61,2%</w:t>
            </w:r>
          </w:p>
        </w:tc>
      </w:tr>
    </w:tbl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sz w:val="24"/>
          <w:szCs w:val="24"/>
        </w:rPr>
        <w:t>Дополнительное образование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В 2018 году в Детском саду работали кружки по направлениям:</w:t>
      </w:r>
    </w:p>
    <w:p w:rsidR="00E95C74" w:rsidRPr="00E95C74" w:rsidRDefault="00E95C74" w:rsidP="00E95C7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1) художественно-э</w:t>
      </w:r>
      <w:r w:rsidR="00722EE4">
        <w:rPr>
          <w:rFonts w:ascii="Times New Roman" w:eastAsia="Calibri" w:hAnsi="Times New Roman" w:cs="Times New Roman"/>
          <w:sz w:val="24"/>
          <w:szCs w:val="24"/>
        </w:rPr>
        <w:t xml:space="preserve">стетическое: «Волшебный пластилин», «Умелые ручки», «Каблучок» </w:t>
      </w:r>
    </w:p>
    <w:p w:rsidR="00E95C74" w:rsidRPr="00E95C74" w:rsidRDefault="00E95C74" w:rsidP="00E95C7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2) социал</w:t>
      </w:r>
      <w:r w:rsidR="00A74615">
        <w:rPr>
          <w:rFonts w:ascii="Times New Roman" w:eastAsia="Calibri" w:hAnsi="Times New Roman" w:cs="Times New Roman"/>
          <w:sz w:val="24"/>
          <w:szCs w:val="24"/>
        </w:rPr>
        <w:t>ьно-педагогическое:</w:t>
      </w:r>
      <w:r w:rsidR="00722EE4">
        <w:rPr>
          <w:rFonts w:ascii="Times New Roman" w:eastAsia="Calibri" w:hAnsi="Times New Roman" w:cs="Times New Roman"/>
          <w:sz w:val="24"/>
          <w:szCs w:val="24"/>
        </w:rPr>
        <w:t xml:space="preserve"> «Юный пешеход» «Юный книголюб»</w:t>
      </w:r>
    </w:p>
    <w:p w:rsidR="00E95C74" w:rsidRPr="00E95C74" w:rsidRDefault="00E95C74" w:rsidP="00E95C7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3) научно- т</w:t>
      </w:r>
      <w:r w:rsidR="00722EE4">
        <w:rPr>
          <w:rFonts w:ascii="Times New Roman" w:eastAsia="Calibri" w:hAnsi="Times New Roman" w:cs="Times New Roman"/>
          <w:sz w:val="24"/>
          <w:szCs w:val="24"/>
        </w:rPr>
        <w:t>ехническое: «Юный исследователь</w:t>
      </w:r>
      <w:r w:rsidRPr="00E95C74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E95C74" w:rsidRPr="00E95C74" w:rsidRDefault="00E95C74" w:rsidP="00E95C7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4) туристиче</w:t>
      </w:r>
      <w:r w:rsidR="00722EE4">
        <w:rPr>
          <w:rFonts w:ascii="Times New Roman" w:eastAsia="Calibri" w:hAnsi="Times New Roman" w:cs="Times New Roman"/>
          <w:sz w:val="24"/>
          <w:szCs w:val="24"/>
        </w:rPr>
        <w:t>ско-краеведческое: «Юный эколог</w:t>
      </w:r>
      <w:r w:rsidRPr="00E95C7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95C74" w:rsidRPr="00E95C74" w:rsidRDefault="00A74615" w:rsidP="00E95C7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5)физическое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Здоровячок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95C74" w:rsidRPr="00E95C74" w:rsidRDefault="00E95C74" w:rsidP="00E95C7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В дополнительном образовании задействовано 81 процентов воспитанников Детского сада.</w:t>
      </w:r>
    </w:p>
    <w:p w:rsidR="00E95C74" w:rsidRPr="00E95C74" w:rsidRDefault="00E95C74" w:rsidP="00E95C7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5C74" w:rsidRPr="00E95C74" w:rsidRDefault="00E95C74" w:rsidP="00E95C7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sz w:val="24"/>
          <w:szCs w:val="24"/>
        </w:rPr>
        <w:t xml:space="preserve">IV. Оценка </w:t>
      </w:r>
      <w:proofErr w:type="gramStart"/>
      <w:r w:rsidRPr="00E95C74">
        <w:rPr>
          <w:rFonts w:ascii="Times New Roman" w:eastAsia="Calibri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В Детском саду утверждено положение о внутренней системе оценки качества образования от 30.01.2015г. Мониторинг качества образовательной деятельности в 2018 году показал хорошую работу педагогического коллектива по всем показателям.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 и 15 процентов выпускников зачислены в школы с углубленным изучением предметов. В течение года воспитанники Детского сада успешно участвовали в конкурсах и мероприятиях различного уровня.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В период с 15.10.2018 по 19.10.2018 проводилось анкетирование 189 родителей, получены следующие результаты: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доля получателей услуг, положительно оценивающих доброжелательность и вежливость работников организации, – 81 процент;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доля получателей услуг, удовлетворенных компетентностью работников организации, – 72 процента;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доля получателей услуг, удовлетворенных материально-техническим обеспечением организации, – 65 процентов;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доля получателей услуг, удовлетворенных качеством предоставляемых образовательных услуг, – 84 процента;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доля получателей услуг, которые готовы рекомендовать организацию родственникам и знакомым, – 92 процента.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E95C74">
        <w:rPr>
          <w:rFonts w:ascii="Times New Roman" w:eastAsia="Calibri" w:hAnsi="Times New Roman" w:cs="Times New Roman"/>
          <w:b/>
          <w:sz w:val="24"/>
          <w:szCs w:val="24"/>
        </w:rPr>
        <w:t>. Оценка кадрового обеспечения</w:t>
      </w:r>
    </w:p>
    <w:p w:rsid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A74615">
        <w:rPr>
          <w:rFonts w:ascii="Times New Roman" w:eastAsia="Calibri" w:hAnsi="Times New Roman" w:cs="Times New Roman"/>
          <w:sz w:val="24"/>
          <w:szCs w:val="24"/>
        </w:rPr>
        <w:t>му расписанию. Всего работают 60 человек</w:t>
      </w:r>
      <w:r w:rsidRPr="00E95C74">
        <w:rPr>
          <w:rFonts w:ascii="Times New Roman" w:eastAsia="Calibri" w:hAnsi="Times New Roman" w:cs="Times New Roman"/>
          <w:sz w:val="24"/>
          <w:szCs w:val="24"/>
        </w:rPr>
        <w:t>. Педагогический коллек</w:t>
      </w:r>
      <w:r w:rsidR="00A74615">
        <w:rPr>
          <w:rFonts w:ascii="Times New Roman" w:eastAsia="Calibri" w:hAnsi="Times New Roman" w:cs="Times New Roman"/>
          <w:sz w:val="24"/>
          <w:szCs w:val="24"/>
        </w:rPr>
        <w:t>тив Детского сада насчитывает 30</w:t>
      </w: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специ</w:t>
      </w:r>
      <w:r w:rsidR="00A74615">
        <w:rPr>
          <w:rFonts w:ascii="Times New Roman" w:eastAsia="Calibri" w:hAnsi="Times New Roman" w:cs="Times New Roman"/>
          <w:sz w:val="24"/>
          <w:szCs w:val="24"/>
        </w:rPr>
        <w:t xml:space="preserve">алистов. </w:t>
      </w:r>
    </w:p>
    <w:p w:rsidR="00A74615" w:rsidRPr="00E95C74" w:rsidRDefault="00A74615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Курсы повышения квалификации </w:t>
      </w:r>
      <w:r w:rsidR="00A74615">
        <w:rPr>
          <w:rFonts w:ascii="Times New Roman" w:eastAsia="Calibri" w:hAnsi="Times New Roman" w:cs="Times New Roman"/>
          <w:sz w:val="24"/>
          <w:szCs w:val="24"/>
        </w:rPr>
        <w:t xml:space="preserve"> и переподготовки </w:t>
      </w:r>
      <w:proofErr w:type="spellStart"/>
      <w:r w:rsidR="00A74615">
        <w:rPr>
          <w:rFonts w:ascii="Times New Roman" w:eastAsia="Calibri" w:hAnsi="Times New Roman" w:cs="Times New Roman"/>
          <w:sz w:val="24"/>
          <w:szCs w:val="24"/>
        </w:rPr>
        <w:t>квалицикации</w:t>
      </w:r>
      <w:proofErr w:type="spellEnd"/>
      <w:r w:rsidR="00A74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5C74">
        <w:rPr>
          <w:rFonts w:ascii="Times New Roman" w:eastAsia="Calibri" w:hAnsi="Times New Roman" w:cs="Times New Roman"/>
          <w:sz w:val="24"/>
          <w:szCs w:val="24"/>
        </w:rPr>
        <w:t>в 2018 году прошли 15 работников Дет</w:t>
      </w:r>
      <w:r w:rsidR="00A74615">
        <w:rPr>
          <w:rFonts w:ascii="Times New Roman" w:eastAsia="Calibri" w:hAnsi="Times New Roman" w:cs="Times New Roman"/>
          <w:sz w:val="24"/>
          <w:szCs w:val="24"/>
        </w:rPr>
        <w:t>ского сада.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Диаграмма с характеристиками кадрового состава Детского сада</w:t>
      </w:r>
    </w:p>
    <w:p w:rsidR="00E95C74" w:rsidRPr="00E95C74" w:rsidRDefault="00E95C74" w:rsidP="00E95C74">
      <w:pPr>
        <w:spacing w:line="256" w:lineRule="auto"/>
        <w:rPr>
          <w:rFonts w:ascii="Calibri" w:eastAsia="Calibri" w:hAnsi="Calibri" w:cs="Times New Roman"/>
        </w:rPr>
      </w:pPr>
    </w:p>
    <w:p w:rsidR="00E95C74" w:rsidRPr="00E95C74" w:rsidRDefault="00E95C74" w:rsidP="00E95C74">
      <w:pPr>
        <w:spacing w:line="256" w:lineRule="auto"/>
        <w:rPr>
          <w:rFonts w:ascii="Calibri" w:eastAsia="Calibri" w:hAnsi="Calibri" w:cs="Times New Roman"/>
        </w:rPr>
      </w:pPr>
      <w:bookmarkStart w:id="0" w:name="_GoBack"/>
      <w:r w:rsidRPr="00E95C74">
        <w:rPr>
          <w:rFonts w:ascii="Arial" w:eastAsia="Calibri" w:hAnsi="Arial" w:cs="Arial"/>
          <w:noProof/>
          <w:sz w:val="24"/>
          <w:lang w:eastAsia="ru-RU"/>
        </w:rPr>
        <w:drawing>
          <wp:inline distT="0" distB="0" distL="0" distR="0" wp14:anchorId="482FF658" wp14:editId="730A5BF7">
            <wp:extent cx="5495290" cy="320929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E95C74" w:rsidRPr="00E95C74" w:rsidRDefault="00E95C74" w:rsidP="00E95C74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E95C74">
        <w:rPr>
          <w:rFonts w:ascii="Times New Roman" w:eastAsia="Calibri" w:hAnsi="Times New Roman" w:cs="Times New Roman"/>
        </w:rPr>
        <w:t xml:space="preserve">Стаж работы педагогов </w:t>
      </w:r>
    </w:p>
    <w:p w:rsidR="00E95C74" w:rsidRPr="00E95C74" w:rsidRDefault="00E95C74" w:rsidP="00E95C74">
      <w:pPr>
        <w:spacing w:line="256" w:lineRule="auto"/>
        <w:rPr>
          <w:rFonts w:ascii="Arial" w:eastAsia="Calibri" w:hAnsi="Arial" w:cs="Arial"/>
          <w:sz w:val="24"/>
        </w:rPr>
      </w:pPr>
      <w:r w:rsidRPr="00E95C74">
        <w:rPr>
          <w:rFonts w:ascii="Arial" w:eastAsia="Calibri" w:hAnsi="Arial" w:cs="Arial"/>
          <w:noProof/>
          <w:sz w:val="24"/>
          <w:lang w:eastAsia="ru-RU"/>
        </w:rPr>
        <w:drawing>
          <wp:inline distT="0" distB="0" distL="0" distR="0" wp14:anchorId="6F77164D" wp14:editId="469F86AD">
            <wp:extent cx="5495290" cy="320929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5C74" w:rsidRPr="00A74615" w:rsidRDefault="00E95C74" w:rsidP="00A74615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E95C74">
        <w:rPr>
          <w:rFonts w:ascii="Times New Roman" w:eastAsia="Calibri" w:hAnsi="Times New Roman" w:cs="Times New Roman"/>
        </w:rPr>
        <w:t>Категория педагогов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E95C74">
        <w:rPr>
          <w:rFonts w:ascii="Times New Roman" w:eastAsia="Calibri" w:hAnsi="Times New Roman" w:cs="Times New Roman"/>
          <w:sz w:val="24"/>
          <w:szCs w:val="24"/>
        </w:rPr>
        <w:t>саморазвиваются</w:t>
      </w:r>
      <w:proofErr w:type="spellEnd"/>
      <w:r w:rsidRPr="00E95C74">
        <w:rPr>
          <w:rFonts w:ascii="Times New Roman" w:eastAsia="Calibri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95C74" w:rsidRPr="00E95C74" w:rsidRDefault="00E95C74" w:rsidP="00E95C7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C74" w:rsidRPr="00E95C74" w:rsidRDefault="00E95C74" w:rsidP="00E95C7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E95C74">
        <w:rPr>
          <w:rFonts w:ascii="Times New Roman" w:eastAsia="Calibri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В Детском саду библиотека является составной частью методической службы. Библиотечный фонд </w:t>
      </w:r>
      <w:r w:rsidRPr="00E95C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E95C74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E95C74">
        <w:rPr>
          <w:rFonts w:ascii="Times New Roman" w:eastAsia="Calibri" w:hAnsi="Times New Roman" w:cs="Times New Roman"/>
          <w:sz w:val="24"/>
          <w:szCs w:val="24"/>
        </w:rPr>
        <w:t>-образовательной работы в соответствии с обязательной частью ООП.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В 2018 году Детский сад пополнил учебно-методический компле</w:t>
      </w:r>
      <w:proofErr w:type="gramStart"/>
      <w:r w:rsidRPr="00E95C74">
        <w:rPr>
          <w:rFonts w:ascii="Times New Roman" w:eastAsia="Calibri" w:hAnsi="Times New Roman" w:cs="Times New Roman"/>
          <w:sz w:val="24"/>
          <w:szCs w:val="24"/>
        </w:rPr>
        <w:t>кт к пр</w:t>
      </w:r>
      <w:proofErr w:type="gramEnd"/>
      <w:r w:rsidRPr="00E95C74">
        <w:rPr>
          <w:rFonts w:ascii="Times New Roman" w:eastAsia="Calibri" w:hAnsi="Times New Roman" w:cs="Times New Roman"/>
          <w:sz w:val="24"/>
          <w:szCs w:val="24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серии, «Мир в картинках», «Рассказы по картинкам», «Расскажите детям о…», «Играем в сказку», «Грамматика в картинках», «Искусство детям»;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картины для рассматривания, плакат</w:t>
      </w:r>
      <w:proofErr w:type="gramStart"/>
      <w:r w:rsidRPr="00E95C74">
        <w:rPr>
          <w:rFonts w:ascii="Times New Roman" w:eastAsia="Calibri" w:hAnsi="Times New Roman" w:cs="Times New Roman"/>
          <w:sz w:val="24"/>
          <w:szCs w:val="24"/>
        </w:rPr>
        <w:t>ы-</w:t>
      </w:r>
      <w:proofErr w:type="gramEnd"/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Цвет, Азбука, Счёт, Времена года, Домашние животные, Перелетные птицы, Зимующие птицы, Домашние питомцы, Фрукты и ягоды, Овощи, Животные Африки, Насекомые, Деревья и листья и др.;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комплексы для оформления родительских уголков;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рабочие тетради для педагогов.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диагностический инструментарий по всем возрастным группам.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Информационное обеспечение Детского сада включает: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информационно-телекоммуникаци</w:t>
      </w:r>
      <w:r w:rsidR="00A74615">
        <w:rPr>
          <w:rFonts w:ascii="Times New Roman" w:eastAsia="Calibri" w:hAnsi="Times New Roman" w:cs="Times New Roman"/>
          <w:sz w:val="24"/>
          <w:szCs w:val="24"/>
        </w:rPr>
        <w:t>онное оборудование – 1 компьютер,2 ноутбука ,3 принтера.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E95C74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proofErr w:type="spellEnd"/>
      <w:r w:rsidRPr="00E95C74">
        <w:rPr>
          <w:rFonts w:ascii="Times New Roman" w:eastAsia="Calibri" w:hAnsi="Times New Roman" w:cs="Times New Roman"/>
          <w:sz w:val="24"/>
          <w:szCs w:val="24"/>
        </w:rPr>
        <w:t>, фото-, видеоматериалами, графическими редакторами.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E95C74">
        <w:rPr>
          <w:rFonts w:ascii="Times New Roman" w:eastAsia="Calibri" w:hAnsi="Times New Roman" w:cs="Times New Roman"/>
          <w:b/>
          <w:sz w:val="24"/>
          <w:szCs w:val="24"/>
        </w:rPr>
        <w:t>. Оценка материально-технической базы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</w:t>
      </w:r>
      <w:r w:rsidR="00A74615">
        <w:rPr>
          <w:rFonts w:ascii="Times New Roman" w:eastAsia="Calibri" w:hAnsi="Times New Roman" w:cs="Times New Roman"/>
          <w:sz w:val="24"/>
          <w:szCs w:val="24"/>
        </w:rPr>
        <w:t xml:space="preserve"> групповые помещения – 13</w:t>
      </w:r>
      <w:r w:rsidRPr="00E95C7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кабинет заведующего – 1;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методический кабинет – 1;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музыкальный зал – 1;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физкультурный зал – 1;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кабинет педагога-психолога-1;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кабине</w:t>
      </w:r>
      <w:r w:rsidR="00A74615">
        <w:rPr>
          <w:rFonts w:ascii="Times New Roman" w:eastAsia="Calibri" w:hAnsi="Times New Roman" w:cs="Times New Roman"/>
          <w:sz w:val="24"/>
          <w:szCs w:val="24"/>
        </w:rPr>
        <w:t>т учителя-логопеда</w:t>
      </w:r>
      <w:r w:rsidRPr="00E95C74">
        <w:rPr>
          <w:rFonts w:ascii="Times New Roman" w:eastAsia="Calibri" w:hAnsi="Times New Roman" w:cs="Times New Roman"/>
          <w:sz w:val="24"/>
          <w:szCs w:val="24"/>
        </w:rPr>
        <w:t>-1;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пищеблок – 1;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прачечная – 1;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− медицинский кабинет – 1;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В 2018 году Детс</w:t>
      </w:r>
      <w:r w:rsidR="00A74615">
        <w:rPr>
          <w:rFonts w:ascii="Times New Roman" w:eastAsia="Calibri" w:hAnsi="Times New Roman" w:cs="Times New Roman"/>
          <w:sz w:val="24"/>
          <w:szCs w:val="24"/>
        </w:rPr>
        <w:t>кий сад провел текущий ремонт 13</w:t>
      </w: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 групп, 2 спальных помещений, коридоров 1 и 2 этажей, медкабинета, музыкального зала. Провели реконструкцию новых малых архитектурных форм и игрового оборудования на участке. 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состояние Детского сада и территории соответствует действующим </w:t>
      </w:r>
      <w:r w:rsidRPr="00E95C74">
        <w:rPr>
          <w:rFonts w:ascii="Times New Roman" w:eastAsia="Calibri" w:hAnsi="Times New Roman" w:cs="Times New Roman"/>
          <w:sz w:val="24"/>
          <w:szCs w:val="24"/>
        </w:rPr>
        <w:lastRenderedPageBreak/>
        <w:t>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C74" w:rsidRPr="00E95C74" w:rsidRDefault="00E95C74" w:rsidP="00E95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C74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Данные приведены по состоянию на 29.12.2018.</w:t>
      </w: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8"/>
        <w:gridCol w:w="1769"/>
        <w:gridCol w:w="1514"/>
      </w:tblGrid>
      <w:tr w:rsidR="00E95C74" w:rsidRPr="00E95C74" w:rsidTr="00EB6B8A">
        <w:tc>
          <w:tcPr>
            <w:tcW w:w="6288" w:type="dxa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69" w:type="dxa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4" w:type="dxa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95C74" w:rsidRPr="00E95C74" w:rsidTr="00EB6B8A">
        <w:tc>
          <w:tcPr>
            <w:tcW w:w="9571" w:type="dxa"/>
            <w:gridSpan w:val="3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E95C74" w:rsidRPr="00E95C74" w:rsidTr="00EB6B8A">
        <w:tc>
          <w:tcPr>
            <w:tcW w:w="6288" w:type="dxa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(8–12 часов)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:rsidR="00E95C74" w:rsidRPr="00E95C74" w:rsidRDefault="00A74615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A74615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</w:p>
        </w:tc>
      </w:tr>
      <w:tr w:rsidR="00E95C74" w:rsidRPr="00E95C74" w:rsidTr="00EB6B8A">
        <w:tc>
          <w:tcPr>
            <w:tcW w:w="6288" w:type="dxa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769" w:type="dxa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14" w:type="dxa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E95C74" w:rsidRPr="00E95C74" w:rsidTr="00EB6B8A">
        <w:tc>
          <w:tcPr>
            <w:tcW w:w="6288" w:type="dxa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769" w:type="dxa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14" w:type="dxa"/>
            <w:shd w:val="clear" w:color="auto" w:fill="auto"/>
          </w:tcPr>
          <w:p w:rsidR="00E95C74" w:rsidRPr="00E95C74" w:rsidRDefault="00A74615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375</w:t>
            </w:r>
          </w:p>
        </w:tc>
      </w:tr>
      <w:tr w:rsidR="00E95C74" w:rsidRPr="00E95C74" w:rsidTr="00EB6B8A">
        <w:tc>
          <w:tcPr>
            <w:tcW w:w="6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5C74" w:rsidRPr="00E95C74" w:rsidTr="00EB6B8A">
        <w:tc>
          <w:tcPr>
            <w:tcW w:w="62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5C74" w:rsidRPr="00E95C74" w:rsidRDefault="00A74615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397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E95C74" w:rsidRPr="00E95C74" w:rsidTr="00EB6B8A">
        <w:trPr>
          <w:trHeight w:val="710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психического развития</w:t>
            </w:r>
          </w:p>
        </w:tc>
        <w:tc>
          <w:tcPr>
            <w:tcW w:w="1769" w:type="dxa"/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14" w:type="dxa"/>
            <w:shd w:val="clear" w:color="auto" w:fill="auto"/>
          </w:tcPr>
          <w:p w:rsidR="00E95C74" w:rsidRPr="00E95C74" w:rsidRDefault="00A74615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E95C74" w:rsidRPr="00E95C74" w:rsidRDefault="00EB6B8A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E7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8E7CD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8E7C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показатель пропущенных по болезни дней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E95C74" w:rsidRPr="00E95C74" w:rsidTr="00EB6B8A">
        <w:trPr>
          <w:trHeight w:val="700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8E7CDE" w:rsidRDefault="008E7CDE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</w:p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8E7CDE" w:rsidRDefault="008E7CDE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7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5C74" w:rsidRPr="008E7CDE" w:rsidRDefault="008E7CDE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7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5C74" w:rsidRPr="008E7CDE" w:rsidRDefault="008E7CDE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8E7CDE" w:rsidRDefault="008E7CDE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95C74" w:rsidRPr="00E95C74" w:rsidTr="00EB6B8A">
        <w:trPr>
          <w:trHeight w:val="1160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8E7CDE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0/3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8E7CDE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0/3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95C74" w:rsidRPr="00E95C74" w:rsidTr="00EB6B8A">
        <w:trPr>
          <w:trHeight w:val="930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6351B8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1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.6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6351B8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1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351B8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%)</w:t>
            </w:r>
          </w:p>
        </w:tc>
      </w:tr>
      <w:tr w:rsidR="00E95C74" w:rsidRPr="00E95C74" w:rsidTr="00EB6B8A">
        <w:trPr>
          <w:trHeight w:val="930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30 лет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C74" w:rsidRPr="00E95C74" w:rsidRDefault="006351B8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proofErr w:type="gramEnd"/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30 до 45 лет</w:t>
            </w:r>
          </w:p>
        </w:tc>
        <w:tc>
          <w:tcPr>
            <w:tcW w:w="17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6351B8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от 45 до 55 лет</w:t>
            </w:r>
          </w:p>
        </w:tc>
        <w:tc>
          <w:tcPr>
            <w:tcW w:w="17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4736F9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6351B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от 55 лет и старше</w:t>
            </w:r>
          </w:p>
        </w:tc>
        <w:tc>
          <w:tcPr>
            <w:tcW w:w="17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4736F9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Start"/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  <w:proofErr w:type="gramEnd"/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41 (76%)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39 (72%)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5C74" w:rsidRPr="00E95C74" w:rsidTr="00EB6B8A"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5C74" w:rsidRPr="00E95C74" w:rsidRDefault="004736F9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7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5C74" w:rsidRPr="00E95C74" w:rsidRDefault="004736F9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7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5C74" w:rsidRPr="00E95C74" w:rsidRDefault="004736F9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7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4736F9" w:rsidRDefault="004736F9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4736F9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E95C74" w:rsidRPr="00E95C74" w:rsidTr="00EB6B8A">
        <w:tc>
          <w:tcPr>
            <w:tcW w:w="9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5C74" w:rsidRPr="00E95C74" w:rsidTr="00EB6B8A">
        <w:tc>
          <w:tcPr>
            <w:tcW w:w="6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7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5C74" w:rsidRPr="00E95C74" w:rsidRDefault="004736F9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7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5C74" w:rsidRPr="00E95C74" w:rsidRDefault="004736F9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E95C74" w:rsidRPr="00E95C74" w:rsidTr="00EB6B8A"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E95C74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C74" w:rsidRPr="00E95C74" w:rsidRDefault="004736F9" w:rsidP="00EB6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E95C74" w:rsidRPr="00E95C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</w:tbl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5C74" w:rsidRPr="00E95C74" w:rsidRDefault="00E95C74" w:rsidP="00E95C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E95C7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E95C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5C74" w:rsidRPr="00E95C74" w:rsidRDefault="00E95C74" w:rsidP="00E95C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C74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D141C7" w:rsidRDefault="00D141C7"/>
    <w:sectPr w:rsidR="00D141C7" w:rsidSect="00E95C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28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DA" w:rsidRDefault="00AE79DA">
      <w:pPr>
        <w:spacing w:after="0" w:line="240" w:lineRule="auto"/>
      </w:pPr>
      <w:r>
        <w:separator/>
      </w:r>
    </w:p>
  </w:endnote>
  <w:endnote w:type="continuationSeparator" w:id="0">
    <w:p w:rsidR="00AE79DA" w:rsidRDefault="00AE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8A" w:rsidRDefault="00EB6B8A"/>
  <w:p w:rsidR="00EB6B8A" w:rsidRDefault="00EB6B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8A" w:rsidRDefault="00EB6B8A"/>
  <w:p w:rsidR="00EB6B8A" w:rsidRDefault="00EB6B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8A" w:rsidRDefault="00EB6B8A"/>
  <w:p w:rsidR="00EB6B8A" w:rsidRDefault="00EB6B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DA" w:rsidRDefault="00AE79DA">
      <w:pPr>
        <w:spacing w:after="0" w:line="240" w:lineRule="auto"/>
      </w:pPr>
      <w:r>
        <w:separator/>
      </w:r>
    </w:p>
  </w:footnote>
  <w:footnote w:type="continuationSeparator" w:id="0">
    <w:p w:rsidR="00AE79DA" w:rsidRDefault="00AE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8A" w:rsidRDefault="00EB6B8A"/>
  <w:p w:rsidR="00EB6B8A" w:rsidRDefault="00EB6B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8A" w:rsidRDefault="00EB6B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8A" w:rsidRDefault="00EB6B8A"/>
  <w:p w:rsidR="00EB6B8A" w:rsidRDefault="00EB6B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74"/>
    <w:rsid w:val="003772A3"/>
    <w:rsid w:val="003A02C8"/>
    <w:rsid w:val="004736F9"/>
    <w:rsid w:val="005E55AB"/>
    <w:rsid w:val="006351B8"/>
    <w:rsid w:val="00722EE4"/>
    <w:rsid w:val="008E7CDE"/>
    <w:rsid w:val="00A74615"/>
    <w:rsid w:val="00AE79DA"/>
    <w:rsid w:val="00C27831"/>
    <w:rsid w:val="00CC28E3"/>
    <w:rsid w:val="00D141C7"/>
    <w:rsid w:val="00DE4739"/>
    <w:rsid w:val="00E95C74"/>
    <w:rsid w:val="00EB6B8A"/>
    <w:rsid w:val="00F566F8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5C74"/>
    <w:pPr>
      <w:tabs>
        <w:tab w:val="center" w:pos="4677"/>
        <w:tab w:val="right" w:pos="9355"/>
      </w:tabs>
      <w:spacing w:after="200" w:line="276" w:lineRule="auto"/>
    </w:pPr>
    <w:rPr>
      <w:rFonts w:ascii="Arial" w:eastAsia="Calibri" w:hAnsi="Arial" w:cs="Arial"/>
      <w:sz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95C74"/>
    <w:rPr>
      <w:rFonts w:ascii="Arial" w:eastAsia="Calibri" w:hAnsi="Arial" w:cs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2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83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772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5C74"/>
    <w:pPr>
      <w:tabs>
        <w:tab w:val="center" w:pos="4677"/>
        <w:tab w:val="right" w:pos="9355"/>
      </w:tabs>
      <w:spacing w:after="200" w:line="276" w:lineRule="auto"/>
    </w:pPr>
    <w:rPr>
      <w:rFonts w:ascii="Arial" w:eastAsia="Calibri" w:hAnsi="Arial" w:cs="Arial"/>
      <w:sz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95C74"/>
    <w:rPr>
      <w:rFonts w:ascii="Arial" w:eastAsia="Calibri" w:hAnsi="Arial" w:cs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2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83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77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kl-mdou47@yandex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7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8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5B9BD5"/>
            </a:solidFill>
            <a:ln w="25372">
              <a:noFill/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До 3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20 и более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6</c:v>
                </c:pt>
                <c:pt idx="3">
                  <c:v>2</c:v>
                </c:pt>
                <c:pt idx="4">
                  <c:v>3</c:v>
                </c:pt>
                <c:pt idx="5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ED7D31"/>
            </a:solidFill>
            <a:ln w="25372">
              <a:noFill/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До 3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20 и более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A5A5A5"/>
            </a:solidFill>
            <a:ln w="25372">
              <a:noFill/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До 3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20 и более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254016"/>
        <c:axId val="137255552"/>
        <c:axId val="0"/>
      </c:bar3DChart>
      <c:catAx>
        <c:axId val="13725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4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255552"/>
        <c:crosses val="autoZero"/>
        <c:auto val="1"/>
        <c:lblAlgn val="ctr"/>
        <c:lblOffset val="100"/>
        <c:noMultiLvlLbl val="0"/>
      </c:catAx>
      <c:valAx>
        <c:axId val="137255552"/>
        <c:scaling>
          <c:orientation val="minMax"/>
        </c:scaling>
        <c:delete val="0"/>
        <c:axPos val="l"/>
        <c:majorGridlines>
          <c:spPr>
            <a:ln w="951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254016"/>
        <c:crosses val="autoZero"/>
        <c:crossBetween val="between"/>
      </c:valAx>
      <c:spPr>
        <a:noFill/>
        <a:ln w="25372">
          <a:noFill/>
        </a:ln>
      </c:spPr>
    </c:plotArea>
    <c:plotVisOnly val="1"/>
    <c:dispBlanksAs val="gap"/>
    <c:showDLblsOverMax val="0"/>
  </c:chart>
  <c:spPr>
    <a:solidFill>
      <a:schemeClr val="bg1"/>
    </a:solidFill>
    <a:ln w="951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7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8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rgbClr val="5B9BD5"/>
            </a:solidFill>
            <a:ln w="25372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  <c:pt idx="3">
                  <c:v>Соответствует занимаемой должности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3</c:v>
                </c:pt>
                <c:pt idx="3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ED7D31"/>
            </a:solidFill>
            <a:ln w="25372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  <c:pt idx="3">
                  <c:v>Соответствует занимаемой должности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A5A5A5"/>
            </a:solidFill>
            <a:ln w="25372"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  <c:pt idx="3">
                  <c:v>Соответствует занимаемой должности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942592"/>
        <c:axId val="142944128"/>
        <c:axId val="0"/>
      </c:bar3DChart>
      <c:catAx>
        <c:axId val="14294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4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944128"/>
        <c:crosses val="autoZero"/>
        <c:auto val="1"/>
        <c:lblAlgn val="ctr"/>
        <c:lblOffset val="100"/>
        <c:noMultiLvlLbl val="0"/>
      </c:catAx>
      <c:valAx>
        <c:axId val="142944128"/>
        <c:scaling>
          <c:orientation val="minMax"/>
        </c:scaling>
        <c:delete val="0"/>
        <c:axPos val="l"/>
        <c:majorGridlines>
          <c:spPr>
            <a:ln w="951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4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942592"/>
        <c:crosses val="autoZero"/>
        <c:crossBetween val="between"/>
      </c:valAx>
      <c:spPr>
        <a:noFill/>
        <a:ln w="25372">
          <a:noFill/>
        </a:ln>
      </c:spPr>
    </c:plotArea>
    <c:plotVisOnly val="1"/>
    <c:dispBlanksAs val="gap"/>
    <c:showDLblsOverMax val="0"/>
  </c:chart>
  <c:spPr>
    <a:solidFill>
      <a:schemeClr val="bg1"/>
    </a:solidFill>
    <a:ln w="951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D-SAD</dc:creator>
  <cp:lastModifiedBy>Я</cp:lastModifiedBy>
  <cp:revision>2</cp:revision>
  <cp:lastPrinted>2019-04-11T13:28:00Z</cp:lastPrinted>
  <dcterms:created xsi:type="dcterms:W3CDTF">2019-04-12T07:58:00Z</dcterms:created>
  <dcterms:modified xsi:type="dcterms:W3CDTF">2019-04-12T07:58:00Z</dcterms:modified>
</cp:coreProperties>
</file>